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4" w:firstLineChars="250"/>
        <w:jc w:val="both"/>
        <w:rPr>
          <w:rFonts w:hint="eastAsia" w:ascii="宋体" w:hAnsi="宋体" w:cs="宋体"/>
          <w:b/>
          <w:bCs/>
          <w:sz w:val="36"/>
          <w:szCs w:val="36"/>
        </w:rPr>
      </w:pPr>
    </w:p>
    <w:p>
      <w:pPr>
        <w:ind w:firstLine="904" w:firstLineChars="250"/>
        <w:jc w:val="center"/>
        <w:rPr>
          <w:rFonts w:hint="eastAsia" w:ascii="宋体" w:hAnsi="宋体" w:eastAsia="宋体" w:cs="宋体"/>
          <w:b/>
          <w:bCs/>
          <w:sz w:val="36"/>
          <w:szCs w:val="36"/>
          <w:lang w:val="en-US" w:eastAsia="zh-CN"/>
        </w:rPr>
      </w:pPr>
    </w:p>
    <w:p>
      <w:pPr>
        <w:ind w:firstLine="904" w:firstLineChars="250"/>
        <w:jc w:val="center"/>
        <w:rPr>
          <w:rFonts w:hint="eastAsia" w:ascii="宋体" w:hAnsi="宋体" w:eastAsia="宋体" w:cs="宋体"/>
          <w:b/>
          <w:bCs/>
          <w:sz w:val="36"/>
          <w:szCs w:val="36"/>
          <w:lang w:val="en-US" w:eastAsia="zh-CN"/>
        </w:rPr>
      </w:pPr>
    </w:p>
    <w:p>
      <w:pPr>
        <w:ind w:firstLine="700" w:firstLineChars="250"/>
        <w:jc w:val="center"/>
        <w:rPr>
          <w:rFonts w:hint="eastAsia" w:ascii="仿宋" w:hAnsi="仿宋" w:eastAsia="仿宋" w:cs="仿宋"/>
          <w:b w:val="0"/>
          <w:bCs w:val="0"/>
          <w:sz w:val="28"/>
          <w:szCs w:val="28"/>
          <w:lang w:val="en-US" w:eastAsia="zh-CN"/>
        </w:rPr>
      </w:pPr>
    </w:p>
    <w:p>
      <w:pPr>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校企（2024）资产4号</w:t>
      </w:r>
    </w:p>
    <w:p>
      <w:pPr>
        <w:jc w:val="both"/>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关于印发《</w:t>
      </w:r>
      <w:r>
        <w:rPr>
          <w:rFonts w:hint="eastAsia" w:ascii="宋体" w:hAnsi="宋体" w:eastAsia="宋体" w:cs="宋体"/>
          <w:b/>
          <w:bCs/>
          <w:color w:val="auto"/>
          <w:sz w:val="36"/>
          <w:szCs w:val="36"/>
        </w:rPr>
        <w:t>福建理工大学资产经营有限公司</w:t>
      </w: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子企业国有产权转让及增资管理暂行办法</w:t>
      </w:r>
      <w:r>
        <w:rPr>
          <w:rFonts w:hint="eastAsia" w:ascii="宋体" w:hAnsi="宋体" w:eastAsia="宋体" w:cs="宋体"/>
          <w:b/>
          <w:bCs/>
          <w:sz w:val="36"/>
          <w:szCs w:val="36"/>
          <w:lang w:val="en-US" w:eastAsia="zh-CN"/>
        </w:rPr>
        <w:t>》的通知</w:t>
      </w:r>
    </w:p>
    <w:p>
      <w:pPr>
        <w:ind w:firstLine="700" w:firstLineChars="250"/>
        <w:jc w:val="center"/>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各部门：</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w:t>
      </w:r>
      <w:r>
        <w:rPr>
          <w:rFonts w:hint="eastAsia" w:ascii="仿宋" w:hAnsi="仿宋" w:eastAsia="仿宋" w:cs="仿宋"/>
          <w:b w:val="0"/>
          <w:bCs w:val="0"/>
          <w:color w:val="auto"/>
          <w:sz w:val="30"/>
          <w:szCs w:val="30"/>
        </w:rPr>
        <w:t>福建理工大学资产经营有限公司子企业国有产权转让及增资管理暂行办法</w:t>
      </w:r>
      <w:r>
        <w:rPr>
          <w:rFonts w:hint="eastAsia" w:ascii="仿宋" w:hAnsi="仿宋" w:eastAsia="仿宋" w:cs="仿宋"/>
          <w:b w:val="0"/>
          <w:bCs w:val="0"/>
          <w:sz w:val="30"/>
          <w:szCs w:val="30"/>
          <w:lang w:val="en-US" w:eastAsia="zh-CN"/>
        </w:rPr>
        <w:t>》已经公司董事会审议通过，现印发给你们，请认真遵照执行。</w:t>
      </w: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福建理工大学资产经营有限公司</w:t>
      </w: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2024年5月11日</w:t>
      </w:r>
    </w:p>
    <w:p>
      <w:pPr>
        <w:ind w:firstLine="700" w:firstLineChars="250"/>
        <w:jc w:val="center"/>
        <w:rPr>
          <w:rFonts w:hint="default" w:ascii="宋体" w:hAnsi="宋体" w:cs="宋体"/>
          <w:b w:val="0"/>
          <w:bCs w:val="0"/>
          <w:sz w:val="28"/>
          <w:szCs w:val="28"/>
          <w:lang w:val="en-US" w:eastAsia="zh-CN"/>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spacing w:line="48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福建理工大学资产经营有限公司</w:t>
      </w: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子企业国有产权转让及增资管理暂行办法</w:t>
      </w:r>
    </w:p>
    <w:p>
      <w:pPr>
        <w:spacing w:line="480" w:lineRule="auto"/>
        <w:jc w:val="center"/>
        <w:rPr>
          <w:rFonts w:ascii="仿宋" w:hAnsi="仿宋" w:eastAsia="仿宋" w:cs="仿宋"/>
          <w:color w:val="auto"/>
          <w:sz w:val="30"/>
          <w:szCs w:val="30"/>
        </w:rPr>
      </w:pPr>
    </w:p>
    <w:p>
      <w:pPr>
        <w:spacing w:line="480"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第一章 总则  </w:t>
      </w:r>
    </w:p>
    <w:p>
      <w:pPr>
        <w:spacing w:line="48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第一条</w:t>
      </w:r>
      <w:r>
        <w:rPr>
          <w:rFonts w:hint="eastAsia" w:ascii="仿宋" w:hAnsi="仿宋" w:eastAsia="仿宋" w:cs="仿宋"/>
          <w:color w:val="auto"/>
          <w:sz w:val="30"/>
          <w:szCs w:val="30"/>
        </w:rPr>
        <w:t xml:space="preserve"> 为规范福建理工大学资产经营有限公司(以下简称"资产公司")子企业国有产权转让及增资行为,加强企业国有资产监督管理,防止国有产权流失,根据《中华人民共和国企业国有资产法》、《中国华人民共和国公司法》、《企业国有资产交易监督管理办法》(国资委、财政部32号令)等有关法律法规,结合资产公司《章程》和子企业的实际,制定本办法。                         </w:t>
      </w:r>
    </w:p>
    <w:p>
      <w:pPr>
        <w:spacing w:line="360" w:lineRule="auto"/>
        <w:ind w:firstLine="602" w:firstLineChars="200"/>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 xml:space="preserve">第二条 </w:t>
      </w:r>
      <w:r>
        <w:rPr>
          <w:rFonts w:hint="eastAsia" w:ascii="仿宋" w:hAnsi="仿宋" w:eastAsia="仿宋" w:cs="仿宋"/>
          <w:color w:val="auto"/>
          <w:sz w:val="30"/>
          <w:szCs w:val="30"/>
        </w:rPr>
        <w:t>本办法所称国有产权(以下称"产权"),是指福建理工大学对资产公司以各种形式投入形成的权益、以各种投资所形成的应享有的权益及其他依法认定为资产公司所有的其他权益。</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b/>
          <w:bCs/>
          <w:color w:val="auto"/>
          <w:sz w:val="30"/>
          <w:szCs w:val="30"/>
        </w:rPr>
        <w:t xml:space="preserve">第三条 </w:t>
      </w:r>
      <w:r>
        <w:rPr>
          <w:rFonts w:hint="eastAsia" w:ascii="仿宋" w:hAnsi="仿宋" w:eastAsia="仿宋" w:cs="仿宋"/>
          <w:color w:val="auto"/>
          <w:sz w:val="30"/>
          <w:szCs w:val="30"/>
        </w:rPr>
        <w:t>资产公司属国家出资企业,资产公司所属子企业产权转让及增资等管理制度由资产公司负责制定,并报学校校长办公会议审议通过后执行。所属子企业产权转让及增资的具体实施及监督管理由资产公司负责。                                                 </w:t>
      </w:r>
    </w:p>
    <w:p>
      <w:pPr>
        <w:spacing w:line="360" w:lineRule="auto"/>
        <w:ind w:firstLine="602"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rPr>
        <w:t xml:space="preserve">第四条 </w:t>
      </w:r>
      <w:r>
        <w:rPr>
          <w:rFonts w:hint="eastAsia" w:ascii="仿宋" w:hAnsi="仿宋" w:eastAsia="仿宋" w:cs="仿宋"/>
          <w:color w:val="auto"/>
          <w:sz w:val="30"/>
          <w:szCs w:val="30"/>
        </w:rPr>
        <w:t>本办法适用于资产公司所属子企业。                       </w:t>
      </w:r>
    </w:p>
    <w:p>
      <w:pPr>
        <w:spacing w:line="360" w:lineRule="auto"/>
        <w:ind w:firstLine="602" w:firstLineChars="20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第二章 子企业产权转让审批及管理</w:t>
      </w:r>
    </w:p>
    <w:p>
      <w:pPr>
        <w:spacing w:line="360" w:lineRule="auto"/>
        <w:ind w:firstLine="602" w:firstLineChars="20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第五条 </w:t>
      </w:r>
      <w:r>
        <w:rPr>
          <w:rFonts w:hint="eastAsia" w:ascii="仿宋" w:hAnsi="仿宋" w:eastAsia="仿宋" w:cs="仿宋"/>
          <w:b w:val="0"/>
          <w:bCs w:val="0"/>
          <w:color w:val="auto"/>
          <w:sz w:val="30"/>
          <w:szCs w:val="30"/>
        </w:rPr>
        <w:t>子企业产权转让审批</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1.对主业处于关系国家安全、国民经济命脉的重要行业和关键领域,主要承担重大专项任务的子企业的产权转让,报国资监管机构福建省财政厅审批。</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2.产权转让后不再拥有所出资子企业控股权的，报国资监管机构福建省财政厅审批。</w:t>
      </w:r>
    </w:p>
    <w:p>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3.除上述情况外子企业其他产权转让行为,由资产公司董事会审核,报学校审批。                                            </w:t>
      </w:r>
    </w:p>
    <w:p>
      <w:pPr>
        <w:spacing w:line="36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第六条</w:t>
      </w:r>
      <w:r>
        <w:rPr>
          <w:rFonts w:hint="eastAsia" w:ascii="仿宋" w:hAnsi="仿宋" w:eastAsia="仿宋" w:cs="仿宋"/>
          <w:color w:val="auto"/>
          <w:sz w:val="30"/>
          <w:szCs w:val="30"/>
        </w:rPr>
        <w:t xml:space="preserve"> 资产公司子企业产权转让应遵守国家法律、行政法规和政策规定,并遵循等价有偿和公开、公平、公正的原则。除按规定可协议转让的以外,产权转让应当在福建省产权交易中心公开进行,公开交易具体规定和程序按照《企业国有资产交易监督管理办法》(国资委、财政部32号令)相关内容执行,公开竞价方式包括拍卖、招投标、网络竞价以及其他竞价方式。</w:t>
      </w:r>
    </w:p>
    <w:p>
      <w:pPr>
        <w:spacing w:line="36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 xml:space="preserve">第七条 </w:t>
      </w:r>
      <w:r>
        <w:rPr>
          <w:rFonts w:hint="eastAsia" w:ascii="仿宋" w:hAnsi="仿宋" w:eastAsia="仿宋" w:cs="仿宋"/>
          <w:color w:val="auto"/>
          <w:sz w:val="30"/>
          <w:szCs w:val="30"/>
        </w:rPr>
        <w:t>以下情形的子企业产权转让,可采取非公开协议方式转让：</w:t>
      </w:r>
    </w:p>
    <w:p>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1.涉及主业处于关系国家安全、国民经济命脉的重要行业和关键领域企业的重组整合，或对受让方有特殊要求,企业产权需要在国有及国有控股企业之间转让的,经福建省教育厅、财政厅批准后,可采取非公开协议方式转让。</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    2.同一国家出资企业及其各级控股企业或实际控制企业之间因实施内部重组整合进行产权转让的，经国家出资企业审议决策后可采取非公开协议方式转让。</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3.资产公司及其各级控股企业或实际控制企业之间因实施内部重组整合进行产权转让的,经资产公司审议并报学校批准后,可采取非公开协议方式转让。</w:t>
      </w:r>
    </w:p>
    <w:p>
      <w:pPr>
        <w:spacing w:line="36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第八条</w:t>
      </w:r>
      <w:r>
        <w:rPr>
          <w:rFonts w:hint="eastAsia" w:ascii="仿宋" w:hAnsi="仿宋" w:eastAsia="仿宋" w:cs="仿宋"/>
          <w:color w:val="auto"/>
          <w:sz w:val="30"/>
          <w:szCs w:val="30"/>
        </w:rPr>
        <w:t xml:space="preserve"> 资产公司子企业产权转让应当在子企业内部公开披露信息，接受职工群众的监督，公示时间为一周。</w:t>
      </w:r>
    </w:p>
    <w:p>
      <w:pPr>
        <w:spacing w:line="36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 xml:space="preserve">第九条 </w:t>
      </w:r>
      <w:r>
        <w:rPr>
          <w:rFonts w:hint="eastAsia" w:ascii="仿宋" w:hAnsi="仿宋" w:eastAsia="仿宋" w:cs="仿宋"/>
          <w:color w:val="auto"/>
          <w:sz w:val="30"/>
          <w:szCs w:val="30"/>
        </w:rPr>
        <w:t>资产公司子企业转让的产权权属应当清晰。产权关系不明晰或者存在纠纷的,必须在依法界定明晰或者消除纠纷后执行。</w:t>
      </w:r>
    </w:p>
    <w:p>
      <w:pPr>
        <w:spacing w:line="36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第十条</w:t>
      </w:r>
      <w:r>
        <w:rPr>
          <w:rFonts w:hint="eastAsia" w:ascii="仿宋" w:hAnsi="仿宋" w:eastAsia="仿宋" w:cs="仿宋"/>
          <w:color w:val="auto"/>
          <w:sz w:val="30"/>
          <w:szCs w:val="30"/>
        </w:rPr>
        <w:t>有下列情形之一的不得转让:</w:t>
      </w:r>
    </w:p>
    <w:p>
      <w:pPr>
        <w:spacing w:line="360" w:lineRule="auto"/>
        <w:ind w:left="596" w:leftChars="284"/>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1.产权有争议的。</w:t>
      </w:r>
    </w:p>
    <w:p>
      <w:pPr>
        <w:spacing w:line="360" w:lineRule="auto"/>
        <w:ind w:left="596" w:leftChars="284"/>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2.产权处分权有限制的。</w:t>
      </w:r>
    </w:p>
    <w:p>
      <w:pPr>
        <w:spacing w:line="360" w:lineRule="auto"/>
        <w:ind w:left="596" w:leftChars="284"/>
        <w:jc w:val="left"/>
        <w:rPr>
          <w:rFonts w:hint="eastAsia" w:ascii="仿宋" w:hAnsi="仿宋" w:eastAsia="仿宋" w:cs="仿宋"/>
          <w:color w:val="auto"/>
          <w:sz w:val="30"/>
          <w:szCs w:val="30"/>
        </w:rPr>
      </w:pPr>
      <w:r>
        <w:rPr>
          <w:rFonts w:hint="eastAsia" w:ascii="仿宋" w:hAnsi="仿宋" w:eastAsia="仿宋" w:cs="仿宋"/>
          <w:color w:val="auto"/>
          <w:sz w:val="30"/>
          <w:szCs w:val="30"/>
        </w:rPr>
        <w:t>3.法律、法规规定的其他情形。</w:t>
      </w:r>
    </w:p>
    <w:p>
      <w:pPr>
        <w:spacing w:line="360" w:lineRule="auto"/>
        <w:ind w:firstLine="452" w:firstLineChars="150"/>
        <w:rPr>
          <w:rFonts w:hint="eastAsia" w:ascii="仿宋" w:hAnsi="仿宋" w:eastAsia="仿宋" w:cs="仿宋"/>
          <w:color w:val="auto"/>
          <w:sz w:val="30"/>
          <w:szCs w:val="30"/>
        </w:rPr>
      </w:pPr>
      <w:r>
        <w:rPr>
          <w:rFonts w:hint="eastAsia" w:ascii="仿宋" w:hAnsi="仿宋" w:eastAsia="仿宋" w:cs="仿宋"/>
          <w:b/>
          <w:bCs/>
          <w:color w:val="auto"/>
          <w:sz w:val="30"/>
          <w:szCs w:val="30"/>
        </w:rPr>
        <w:t xml:space="preserve">第十一条 </w:t>
      </w:r>
      <w:r>
        <w:rPr>
          <w:rFonts w:hint="eastAsia" w:ascii="仿宋" w:hAnsi="仿宋" w:eastAsia="仿宋" w:cs="仿宋"/>
          <w:color w:val="auto"/>
          <w:sz w:val="30"/>
          <w:szCs w:val="30"/>
        </w:rPr>
        <w:t>采取非公开协议方式转让企业产权,转让价格不得低于经核准或备案的评估结果。</w:t>
      </w:r>
    </w:p>
    <w:p>
      <w:p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以下情形按照《中华人民共和国公司法》、企业章程履行决策程序后,转让价格可以资产评估报告或最近一期审计报告确认的净资产值为基础确定,且不得低于经评估或审计的净资产值:</w:t>
      </w:r>
    </w:p>
    <w:p>
      <w:pPr>
        <w:spacing w:line="360" w:lineRule="auto"/>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1.同一国家出资企业内部实施重组整合,转让方和受让方为该国家出资企业及其直接或间接全资拥有的子企业。                   </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2.同一国有控股企业或国有实际控制企业内部实施重组整合,转让方和受让方为该国有控股企业或国有实际控制企业及其直接、间接全资拥有的子企业。</w:t>
      </w:r>
    </w:p>
    <w:p>
      <w:pPr>
        <w:spacing w:line="360" w:lineRule="auto"/>
        <w:ind w:left="447" w:leftChars="213"/>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第十二条</w:t>
      </w:r>
      <w:r>
        <w:rPr>
          <w:rFonts w:hint="eastAsia" w:ascii="仿宋" w:hAnsi="仿宋" w:eastAsia="仿宋" w:cs="仿宋"/>
          <w:color w:val="auto"/>
          <w:sz w:val="30"/>
          <w:szCs w:val="30"/>
        </w:rPr>
        <w:t xml:space="preserve"> 采取非公开协议方式转让产权时,应提供下列文件:</w:t>
      </w:r>
    </w:p>
    <w:p>
      <w:pPr>
        <w:spacing w:line="360" w:lineRule="auto"/>
        <w:ind w:left="447" w:leftChars="213"/>
        <w:rPr>
          <w:rFonts w:hint="eastAsia" w:ascii="仿宋" w:hAnsi="仿宋" w:eastAsia="仿宋" w:cs="仿宋"/>
          <w:color w:val="auto"/>
          <w:sz w:val="30"/>
          <w:szCs w:val="30"/>
          <w:lang w:eastAsia="zh-CN"/>
        </w:rPr>
      </w:pPr>
      <w:r>
        <w:rPr>
          <w:rFonts w:hint="eastAsia" w:ascii="仿宋" w:hAnsi="仿宋" w:eastAsia="仿宋" w:cs="仿宋"/>
          <w:color w:val="auto"/>
          <w:sz w:val="30"/>
          <w:szCs w:val="30"/>
        </w:rPr>
        <w:t>1.产权转让的有关决议文件。</w:t>
      </w:r>
    </w:p>
    <w:p>
      <w:pPr>
        <w:spacing w:line="360" w:lineRule="auto"/>
        <w:ind w:left="447" w:leftChars="213"/>
        <w:rPr>
          <w:rFonts w:hint="eastAsia" w:ascii="仿宋" w:hAnsi="仿宋" w:eastAsia="仿宋" w:cs="仿宋"/>
          <w:color w:val="auto"/>
          <w:sz w:val="30"/>
          <w:szCs w:val="30"/>
        </w:rPr>
      </w:pPr>
      <w:r>
        <w:rPr>
          <w:rFonts w:hint="eastAsia" w:ascii="仿宋" w:hAnsi="仿宋" w:eastAsia="仿宋" w:cs="仿宋"/>
          <w:color w:val="auto"/>
          <w:sz w:val="30"/>
          <w:szCs w:val="30"/>
        </w:rPr>
        <w:t>2.产权转让方案。                                                    </w:t>
      </w:r>
    </w:p>
    <w:p>
      <w:pPr>
        <w:spacing w:line="360" w:lineRule="auto"/>
        <w:ind w:left="447" w:leftChars="213"/>
        <w:rPr>
          <w:rFonts w:hint="eastAsia" w:ascii="仿宋" w:hAnsi="仿宋" w:eastAsia="仿宋" w:cs="仿宋"/>
          <w:color w:val="auto"/>
          <w:sz w:val="30"/>
          <w:szCs w:val="30"/>
        </w:rPr>
      </w:pPr>
      <w:r>
        <w:rPr>
          <w:rFonts w:hint="eastAsia" w:ascii="仿宋" w:hAnsi="仿宋" w:eastAsia="仿宋" w:cs="仿宋"/>
          <w:color w:val="auto"/>
          <w:sz w:val="30"/>
          <w:szCs w:val="30"/>
        </w:rPr>
        <w:t>3.采取非公开协议方式转让产权的必要性以及受让方情况</w:t>
      </w:r>
    </w:p>
    <w:p>
      <w:pPr>
        <w:spacing w:line="360" w:lineRule="auto"/>
        <w:ind w:left="447" w:leftChars="213"/>
        <w:rPr>
          <w:rFonts w:hint="eastAsia" w:ascii="仿宋" w:hAnsi="仿宋" w:eastAsia="仿宋" w:cs="仿宋"/>
          <w:color w:val="auto"/>
          <w:sz w:val="30"/>
          <w:szCs w:val="30"/>
        </w:rPr>
      </w:pPr>
      <w:r>
        <w:rPr>
          <w:rFonts w:hint="eastAsia" w:ascii="仿宋" w:hAnsi="仿宋" w:eastAsia="仿宋" w:cs="仿宋"/>
          <w:color w:val="auto"/>
          <w:sz w:val="30"/>
          <w:szCs w:val="30"/>
        </w:rPr>
        <w:t>4.转让标的企业审计报告、资产评估报告及其核准或备案文件。           </w:t>
      </w:r>
    </w:p>
    <w:p>
      <w:pPr>
        <w:spacing w:line="360" w:lineRule="auto"/>
        <w:ind w:left="447" w:leftChars="213"/>
        <w:rPr>
          <w:rFonts w:hint="eastAsia" w:ascii="仿宋" w:hAnsi="仿宋" w:eastAsia="仿宋" w:cs="仿宋"/>
          <w:color w:val="auto"/>
          <w:sz w:val="30"/>
          <w:szCs w:val="30"/>
          <w:lang w:eastAsia="zh-CN"/>
        </w:rPr>
      </w:pPr>
      <w:r>
        <w:rPr>
          <w:rFonts w:hint="eastAsia" w:ascii="仿宋" w:hAnsi="仿宋" w:eastAsia="仿宋" w:cs="仿宋"/>
          <w:color w:val="auto"/>
          <w:sz w:val="30"/>
          <w:szCs w:val="30"/>
        </w:rPr>
        <w:t>5.产权转让协议。</w:t>
      </w:r>
    </w:p>
    <w:p>
      <w:pPr>
        <w:spacing w:line="360" w:lineRule="auto"/>
        <w:ind w:left="447" w:leftChars="213"/>
        <w:rPr>
          <w:rFonts w:hint="eastAsia" w:ascii="仿宋" w:hAnsi="仿宋" w:eastAsia="仿宋" w:cs="仿宋"/>
          <w:color w:val="auto"/>
          <w:sz w:val="30"/>
          <w:szCs w:val="30"/>
          <w:lang w:eastAsia="zh-CN"/>
        </w:rPr>
      </w:pPr>
      <w:r>
        <w:rPr>
          <w:rFonts w:hint="eastAsia" w:ascii="仿宋" w:hAnsi="仿宋" w:eastAsia="仿宋" w:cs="仿宋"/>
          <w:color w:val="auto"/>
          <w:sz w:val="30"/>
          <w:szCs w:val="30"/>
        </w:rPr>
        <w:t>6.转让方、受让方和转让标的企业的国家出资企业产权登记表（证）</w:t>
      </w:r>
    </w:p>
    <w:p>
      <w:pPr>
        <w:spacing w:line="360" w:lineRule="auto"/>
        <w:ind w:left="447" w:leftChars="213"/>
        <w:rPr>
          <w:rFonts w:hint="eastAsia" w:ascii="仿宋" w:hAnsi="仿宋" w:eastAsia="仿宋" w:cs="仿宋"/>
          <w:color w:val="auto"/>
          <w:sz w:val="30"/>
          <w:szCs w:val="30"/>
          <w:lang w:eastAsia="zh-CN"/>
        </w:rPr>
      </w:pPr>
      <w:r>
        <w:rPr>
          <w:rFonts w:hint="eastAsia" w:ascii="仿宋" w:hAnsi="仿宋" w:eastAsia="仿宋" w:cs="仿宋"/>
          <w:color w:val="auto"/>
          <w:sz w:val="30"/>
          <w:szCs w:val="30"/>
        </w:rPr>
        <w:t>7.产权转让行为的法律意见书。</w:t>
      </w:r>
    </w:p>
    <w:p>
      <w:pPr>
        <w:spacing w:line="360" w:lineRule="auto"/>
        <w:ind w:left="447" w:leftChars="213"/>
        <w:rPr>
          <w:rFonts w:hint="eastAsia" w:ascii="仿宋" w:hAnsi="仿宋" w:eastAsia="仿宋" w:cs="仿宋"/>
          <w:color w:val="auto"/>
          <w:sz w:val="30"/>
          <w:szCs w:val="30"/>
        </w:rPr>
      </w:pPr>
      <w:r>
        <w:rPr>
          <w:rFonts w:hint="eastAsia" w:ascii="仿宋" w:hAnsi="仿宋" w:eastAsia="仿宋" w:cs="仿宋"/>
          <w:color w:val="auto"/>
          <w:sz w:val="30"/>
          <w:szCs w:val="30"/>
        </w:rPr>
        <w:t>8.其他必要的文件。                                      </w:t>
      </w:r>
    </w:p>
    <w:p>
      <w:pPr>
        <w:spacing w:line="360"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第三章 子企业增资审批及管理</w:t>
      </w:r>
    </w:p>
    <w:p>
      <w:pPr>
        <w:spacing w:line="360" w:lineRule="auto"/>
        <w:ind w:firstLine="452" w:firstLineChars="15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 xml:space="preserve">第十三条 </w:t>
      </w:r>
      <w:r>
        <w:rPr>
          <w:rFonts w:hint="eastAsia" w:ascii="仿宋" w:hAnsi="仿宋" w:eastAsia="仿宋" w:cs="仿宋"/>
          <w:color w:val="auto"/>
          <w:sz w:val="30"/>
          <w:szCs w:val="30"/>
        </w:rPr>
        <w:t>子企业增资的审批</w:t>
      </w:r>
    </w:p>
    <w:p>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1.对主业处于关系国家安全、国民经济命脉的重要行业和关键领域,主要承担重大专项任务的子企业增资,报国资监管机构福建省财政厅审批。</w:t>
      </w:r>
    </w:p>
    <w:p>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2.增资后不再拥有所出资子企业控股权的，报国资监管机构福建省财政厅审批。</w:t>
      </w:r>
    </w:p>
    <w:p>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3.除上述情况外，对子企业增资额100万元（含）以上的,由资产公司董事会审核报学校审批；对子企业增资额在100万元以下的,由资产公司董事会审批。</w:t>
      </w:r>
    </w:p>
    <w:p>
      <w:pPr>
        <w:spacing w:line="360" w:lineRule="auto"/>
        <w:ind w:firstLine="602" w:firstLineChars="200"/>
        <w:jc w:val="left"/>
        <w:rPr>
          <w:rFonts w:hint="eastAsia" w:ascii="仿宋" w:hAnsi="仿宋" w:eastAsia="仿宋" w:cs="仿宋"/>
          <w:color w:val="auto"/>
          <w:sz w:val="30"/>
          <w:szCs w:val="30"/>
        </w:rPr>
      </w:pPr>
      <w:bookmarkStart w:id="0" w:name="_GoBack"/>
      <w:bookmarkEnd w:id="0"/>
      <w:r>
        <w:rPr>
          <w:rFonts w:hint="eastAsia" w:ascii="仿宋" w:hAnsi="仿宋" w:eastAsia="仿宋" w:cs="仿宋"/>
          <w:b/>
          <w:bCs/>
          <w:color w:val="auto"/>
          <w:sz w:val="30"/>
          <w:szCs w:val="30"/>
        </w:rPr>
        <w:t>第十四条</w:t>
      </w:r>
      <w:r>
        <w:rPr>
          <w:rFonts w:hint="eastAsia" w:ascii="仿宋" w:hAnsi="仿宋" w:eastAsia="仿宋" w:cs="仿宋"/>
          <w:color w:val="auto"/>
          <w:sz w:val="30"/>
          <w:szCs w:val="30"/>
        </w:rPr>
        <w:t xml:space="preserve"> 以下情形经同级国资监管机构批准, 可以采取非公开协议方式进行增资:                                                </w:t>
      </w:r>
    </w:p>
    <w:p>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1.因国有资本布局调整需要,由特定的国有及国有控股企业或国有实际控制企业参与增资。</w:t>
      </w:r>
    </w:p>
    <w:p>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2.因国家出资企业与特定投资方建立战略合作伙伴或利益共同体需要,由该投资方参与国家投资企业或子企业增资。</w:t>
      </w:r>
    </w:p>
    <w:p>
      <w:pPr>
        <w:spacing w:line="360" w:lineRule="auto"/>
        <w:ind w:firstLine="602" w:firstLineChars="200"/>
        <w:jc w:val="left"/>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 xml:space="preserve">第十五条 </w:t>
      </w:r>
      <w:r>
        <w:rPr>
          <w:rFonts w:hint="eastAsia" w:ascii="仿宋" w:hAnsi="仿宋" w:eastAsia="仿宋" w:cs="仿宋"/>
          <w:color w:val="auto"/>
          <w:sz w:val="30"/>
          <w:szCs w:val="30"/>
        </w:rPr>
        <w:t>以下情形经国家出资企业审议决策,可以采取非公开协议方式进行增资:</w:t>
      </w:r>
    </w:p>
    <w:p>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1.国家出资企业直接或指定其控股、实际控制的其他子企业参与增资。</w:t>
      </w:r>
    </w:p>
    <w:p>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2.企业债权转为股权。</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    3.企业原股东增资。</w:t>
      </w:r>
    </w:p>
    <w:p>
      <w:pPr>
        <w:spacing w:line="360" w:lineRule="auto"/>
        <w:ind w:firstLine="602" w:firstLineChars="200"/>
        <w:jc w:val="left"/>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 xml:space="preserve">第十六条 </w:t>
      </w:r>
      <w:r>
        <w:rPr>
          <w:rFonts w:hint="eastAsia" w:ascii="仿宋" w:hAnsi="仿宋" w:eastAsia="仿宋" w:cs="仿宋"/>
          <w:color w:val="auto"/>
          <w:sz w:val="30"/>
          <w:szCs w:val="30"/>
        </w:rPr>
        <w:t>企业增资应当由增资的子企业根据企业发展的需要提出可行性、必要性论证,按照企业章程和内部管理制度进行决策后,形成书面决议并报资产公司审议。</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b/>
          <w:bCs/>
          <w:color w:val="auto"/>
          <w:sz w:val="30"/>
          <w:szCs w:val="30"/>
        </w:rPr>
        <w:t xml:space="preserve">第十七条 </w:t>
      </w:r>
      <w:r>
        <w:rPr>
          <w:rFonts w:hint="eastAsia" w:ascii="仿宋" w:hAnsi="仿宋" w:eastAsia="仿宋" w:cs="仿宋"/>
          <w:color w:val="auto"/>
          <w:sz w:val="30"/>
          <w:szCs w:val="30"/>
        </w:rPr>
        <w:t>子企业增资在完成决策批准程序后,由资产公司委托具有相应资质的中介机构开展审计和资产评估。</w:t>
      </w:r>
    </w:p>
    <w:p>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以下情形按照《中华人民共和国公司法》、企业章程履行决策程序后,可以依据评估报告或最近一期审计报告确定企业资本及股权比例:</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1.增资企业原股东同比例增资的。</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2.履行出资人职责的机构对国家出资企业增资的。</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3.国有控股或国有实际控制企业对其独资子企业增资的。</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4.增资企业和投资方均为国有独资或国有全资企业的。</w:t>
      </w:r>
    </w:p>
    <w:p>
      <w:pPr>
        <w:spacing w:line="360" w:lineRule="auto"/>
        <w:ind w:firstLine="602" w:firstLineChars="200"/>
        <w:jc w:val="left"/>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 xml:space="preserve">第十八条 </w:t>
      </w:r>
      <w:r>
        <w:rPr>
          <w:rFonts w:hint="eastAsia" w:ascii="仿宋" w:hAnsi="仿宋" w:eastAsia="仿宋" w:cs="仿宋"/>
          <w:color w:val="auto"/>
          <w:sz w:val="30"/>
          <w:szCs w:val="30"/>
        </w:rPr>
        <w:t>子企业采取非公开协议方式增资时，应当审核下列文件：</w:t>
      </w:r>
    </w:p>
    <w:p>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1.增资的有关决议件。                                                  </w:t>
      </w:r>
    </w:p>
    <w:p>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2.增资方案。</w:t>
      </w:r>
    </w:p>
    <w:p>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3.采取非公开协议方式增资的必要性以及投资方情况。</w:t>
      </w:r>
    </w:p>
    <w:p>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4.增资企业审计报告、资产评估报告及其核准或备案文件。</w:t>
      </w:r>
    </w:p>
    <w:p>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5.增资协议。</w:t>
      </w:r>
    </w:p>
    <w:p>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6.增资企业的国家出资企业产权登记表(证)。</w:t>
      </w:r>
    </w:p>
    <w:p>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7.增资行为的法律意见书。</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 8.其他必要的文件。</w:t>
      </w:r>
    </w:p>
    <w:p>
      <w:pPr>
        <w:spacing w:line="360" w:lineRule="auto"/>
        <w:ind w:firstLine="602" w:firstLineChars="200"/>
        <w:jc w:val="left"/>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 xml:space="preserve">第十九条 </w:t>
      </w:r>
      <w:r>
        <w:rPr>
          <w:rFonts w:hint="eastAsia" w:ascii="仿宋" w:hAnsi="仿宋" w:eastAsia="仿宋" w:cs="仿宋"/>
          <w:color w:val="auto"/>
          <w:sz w:val="30"/>
          <w:szCs w:val="30"/>
        </w:rPr>
        <w:t>本办法由资产公司负责解释。</w:t>
      </w:r>
    </w:p>
    <w:p>
      <w:pPr>
        <w:spacing w:line="360" w:lineRule="auto"/>
        <w:ind w:firstLine="600" w:firstLineChars="200"/>
        <w:jc w:val="left"/>
        <w:rPr>
          <w:rFonts w:hint="eastAsia" w:ascii="仿宋" w:hAnsi="仿宋" w:eastAsia="仿宋" w:cs="仿宋"/>
          <w:color w:val="auto"/>
          <w:sz w:val="30"/>
          <w:szCs w:val="30"/>
          <w:lang w:eastAsia="zh-CN"/>
        </w:rPr>
      </w:pPr>
    </w:p>
    <w:p>
      <w:pPr>
        <w:spacing w:line="360" w:lineRule="auto"/>
        <w:ind w:firstLine="600" w:firstLineChars="200"/>
        <w:jc w:val="left"/>
        <w:rPr>
          <w:rFonts w:hint="eastAsia" w:ascii="仿宋" w:hAnsi="仿宋" w:eastAsia="仿宋" w:cs="仿宋"/>
          <w:color w:val="auto"/>
          <w:sz w:val="30"/>
          <w:szCs w:val="30"/>
          <w:lang w:eastAsia="zh-CN"/>
        </w:rPr>
      </w:pPr>
    </w:p>
    <w:p>
      <w:pPr>
        <w:spacing w:line="360" w:lineRule="auto"/>
        <w:ind w:firstLine="3600" w:firstLineChars="1200"/>
        <w:jc w:val="left"/>
        <w:rPr>
          <w:rFonts w:hint="eastAsia" w:ascii="仿宋" w:hAnsi="仿宋" w:eastAsia="仿宋" w:cs="仿宋"/>
          <w:color w:val="auto"/>
          <w:sz w:val="30"/>
          <w:szCs w:val="30"/>
        </w:rPr>
      </w:pPr>
      <w:r>
        <w:rPr>
          <w:rFonts w:hint="eastAsia" w:ascii="仿宋" w:hAnsi="仿宋" w:eastAsia="仿宋" w:cs="仿宋"/>
          <w:color w:val="auto"/>
          <w:sz w:val="30"/>
          <w:szCs w:val="30"/>
        </w:rPr>
        <w:t>福建理工大学资产经营有限公司</w:t>
      </w:r>
    </w:p>
    <w:p>
      <w:pPr>
        <w:spacing w:line="360" w:lineRule="auto"/>
        <w:ind w:firstLine="4500" w:firstLineChars="1500"/>
        <w:jc w:val="left"/>
        <w:rPr>
          <w:rFonts w:hint="eastAsia" w:ascii="仿宋" w:hAnsi="仿宋" w:eastAsia="仿宋" w:cs="仿宋"/>
          <w:color w:val="auto"/>
          <w:sz w:val="30"/>
          <w:szCs w:val="30"/>
        </w:rPr>
      </w:pPr>
      <w:r>
        <w:rPr>
          <w:rFonts w:hint="eastAsia" w:ascii="仿宋" w:hAnsi="仿宋" w:eastAsia="仿宋" w:cs="仿宋"/>
          <w:color w:val="auto"/>
          <w:sz w:val="30"/>
          <w:szCs w:val="30"/>
        </w:rPr>
        <w:t>2024年</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月1</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日</w:t>
      </w:r>
    </w:p>
    <w:p>
      <w:pPr>
        <w:rPr>
          <w:color w:val="auto"/>
        </w:rPr>
      </w:pPr>
    </w:p>
    <w:p>
      <w:pPr>
        <w:rPr>
          <w:color w:val="auto"/>
        </w:rPr>
      </w:pPr>
    </w:p>
    <w:p>
      <w:pPr>
        <w:rPr>
          <w:color w:val="auto"/>
        </w:rPr>
      </w:pPr>
    </w:p>
    <w:p>
      <w:pPr>
        <w:ind w:right="750"/>
        <w:jc w:val="both"/>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YmQxNjJmNTVmZjUzMmNmYmUxNzYxYjNjMjI2OTYifQ=="/>
  </w:docVars>
  <w:rsids>
    <w:rsidRoot w:val="18DF488E"/>
    <w:rsid w:val="002E5CCE"/>
    <w:rsid w:val="12C17D51"/>
    <w:rsid w:val="14486254"/>
    <w:rsid w:val="146E4BD8"/>
    <w:rsid w:val="18DF488E"/>
    <w:rsid w:val="214366B5"/>
    <w:rsid w:val="2908452C"/>
    <w:rsid w:val="2B6F5A02"/>
    <w:rsid w:val="396751E8"/>
    <w:rsid w:val="3D5D3401"/>
    <w:rsid w:val="41A1551E"/>
    <w:rsid w:val="52CE3F17"/>
    <w:rsid w:val="57F1321A"/>
    <w:rsid w:val="72CA3132"/>
    <w:rsid w:val="79BD4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2023-12-27T07:12:00Z</dcterms:created>
  <dc:creator>陈晨</dc:creator>
  <cp:lastModifiedBy>陈晨</cp:lastModifiedBy>
  <cp:lastPrinted>2024-05-13T01:28:56Z</cp:lastPrinted>
  <dcterms:modified xsi:type="dcterms:W3CDTF">2024-05-13T01:29:46Z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0AE6A445C6264031B21C3B0BE8998B88_13</vt:lpwstr>
  </property>
</Properties>
</file>